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7" w:rsidRPr="00A0507F" w:rsidRDefault="00524967" w:rsidP="00524967">
      <w:pPr>
        <w:jc w:val="left"/>
        <w:rPr>
          <w:rFonts w:ascii="ＭＳ ゴシック" w:eastAsia="ＭＳ ゴシック" w:hAnsi="ＭＳ ゴシック"/>
        </w:rPr>
      </w:pPr>
      <w:r w:rsidRPr="00A0507F">
        <w:rPr>
          <w:rFonts w:ascii="ＭＳ ゴシック" w:eastAsia="ＭＳ ゴシック" w:hAnsi="ＭＳ ゴシック" w:hint="eastAsia"/>
        </w:rPr>
        <w:t>＜参考様式２＞</w:t>
      </w:r>
    </w:p>
    <w:p w:rsidR="00524967" w:rsidRDefault="00524967" w:rsidP="00524967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AF135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F135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F135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各　　　位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AF1359" w:rsidRDefault="00AF1359" w:rsidP="00AF1359">
      <w:pPr>
        <w:ind w:right="1682" w:firstLineChars="2700" w:firstLine="5940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  <w:r w:rsidRPr="00AF13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5D2D" wp14:editId="142889BA">
                <wp:simplePos x="0" y="0"/>
                <wp:positionH relativeFrom="column">
                  <wp:posOffset>5728335</wp:posOffset>
                </wp:positionH>
                <wp:positionV relativeFrom="paragraph">
                  <wp:posOffset>127635</wp:posOffset>
                </wp:positionV>
                <wp:extent cx="485775" cy="424815"/>
                <wp:effectExtent l="0" t="0" r="0" b="0"/>
                <wp:wrapNone/>
                <wp:docPr id="65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967" w:rsidRPr="00AF1359" w:rsidRDefault="00524967" w:rsidP="0052496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95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05pt;margin-top:10.05pt;width:38.2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u4XQIAAIsEAAAOAAAAZHJzL2Uyb0RvYy54bWysVM2O0zAQviPxDpbvNG1JtyVquiq7KkKq&#10;dlfqoj27jtNEJB5ju03KsZVWPASvgDjzPHkRxk7/tHBCXJyx55vfbybj67osyEZok4OMaa/TpURI&#10;DkkuVzH99Dh7M6LEWCYTVoAUMd0KQ68nr1+NKxWJPmRQJEITdCJNVKmYZtaqKAgMz0TJTAeUkKhM&#10;QZfM4lWvgkSzCr2XRdDvdq+CCnSiNHBhDL7etko68f7TVHB7n6ZGWFLEFHOz/tT+XLozmIxZtNJM&#10;ZTk/pMH+IYuS5RKDnlzdMsvIWud/uCpzrsFAajscygDSNOfC14DV9LovqllkTAlfCzbHqFObzP9z&#10;y+82D5rkSUyvBv0hJZKVyFKzf252P5rdr2b/jTT7781+3+x+4p30XMcqZSI0XCg0tfV7qJF5X71R&#10;c+CfDUKCC0xrYBDtOlSnunRfrJ2gIZKyPREhaks4PoajwXA4oISjKuyHo97AhQ3Oxkob+0FASZwQ&#10;U408+wTYZm5sCz1CXCwJs7wo8J1FhSQVFvt20PUGJw06L6QDCD81BzeuijZxJ9l6WaMTJy4h2WL1&#10;GtqJMorPckxlzox9YBpHCOvCtbD3eKQFYEg4SJRkoL/+7d3hkVnUUlLhSMbUfFkzLSgpPkrk/F0v&#10;DN0M+0s4GPbxoi81y0uNXJc3gFPfwwVU3IsOb4ujmGoon3B7pi4qqpjkGDum9ije2HZRcPu4mE49&#10;CKdWMTuXC8WPpLtGP9ZPTKsDGxZpvIPj8LLoBSkttqVluraQ5p6xc1cP04MT7zk/bKdbqcu7R53/&#10;IZPfAAAA//8DAFBLAwQUAAYACAAAACEAZN6NY98AAAAJAQAADwAAAGRycy9kb3ducmV2LnhtbEyP&#10;y07DMBBF90j8gzVI7KjdLJo0ZFJVCDZICFEqIXbT2I1T/Ai224a/x6zoajSaozvnNqvJGnZSIQ7e&#10;IcxnAphynZeD6xG27093FbCYyEky3imEHxVh1V5fNVRLf3Zv6rRJPcshLtaEoFMaa85jp5WlOPOj&#10;cvm298FSymvouQx0zuHW8EKIBbc0uPxB06getOq+NkeLUFafUh/C87T9eFl/69eRm0fiiLc30/oe&#10;WFJT+ofhTz+rQ5uddv7oZGQGYSmKeUYRCpFnBpZltQC2Q6hKAbxt+GWD9hcAAP//AwBQSwECLQAU&#10;AAYACAAAACEAtoM4kv4AAADhAQAAEwAAAAAAAAAAAAAAAAAAAAAAW0NvbnRlbnRfVHlwZXNdLnht&#10;bFBLAQItABQABgAIAAAAIQA4/SH/1gAAAJQBAAALAAAAAAAAAAAAAAAAAC8BAABfcmVscy8ucmVs&#10;c1BLAQItABQABgAIAAAAIQAMD9u4XQIAAIsEAAAOAAAAAAAAAAAAAAAAAC4CAABkcnMvZTJvRG9j&#10;LnhtbFBLAQItABQABgAIAAAAIQBk3o1j3wAAAAkBAAAPAAAAAAAAAAAAAAAAALcEAABkcnMvZG93&#10;bnJldi54bWxQSwUGAAAAAAQABADzAAAAwwUAAAAA&#10;" filled="f" stroked="f" strokeweight=".5pt">
                <v:path arrowok="t"/>
                <v:textbox>
                  <w:txbxContent>
                    <w:p w:rsidR="00524967" w:rsidRPr="00AF1359" w:rsidRDefault="00524967" w:rsidP="0052496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F13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会社印</w:t>
                      </w:r>
                    </w:p>
                  </w:txbxContent>
                </v:textbox>
              </v:shape>
            </w:pict>
          </mc:Fallback>
        </mc:AlternateContent>
      </w:r>
      <w:r w:rsidR="00524967" w:rsidRPr="00AF13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5A24" wp14:editId="76E71268">
                <wp:simplePos x="0" y="0"/>
                <wp:positionH relativeFrom="column">
                  <wp:posOffset>5734050</wp:posOffset>
                </wp:positionH>
                <wp:positionV relativeFrom="paragraph">
                  <wp:posOffset>81915</wp:posOffset>
                </wp:positionV>
                <wp:extent cx="461010" cy="457200"/>
                <wp:effectExtent l="0" t="0" r="15240" b="19050"/>
                <wp:wrapNone/>
                <wp:docPr id="6526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3E182" id="円/楕円 2" o:spid="_x0000_s1026" style="position:absolute;left:0;text-align:left;margin-left:451.5pt;margin-top:6.45pt;width:36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DpbgIAAM8EAAAOAAAAZHJzL2Uyb0RvYy54bWysVFFu2zAM/R+wOwj6X50EaboZcYqgRYcB&#10;QVugHfrNylJsTBI1SYnTHaA32BF2tO0co2Snadd9DfuRSfGJIp8ePT/dGc220ocWbcXHRyPOpBVY&#10;t3Zd8c+3F+/ecxYi2Bo0WlnxBxn46eLtm3nnSjnBBnUtPaMkNpSdq3gToyuLIohGGghH6KSloEJv&#10;IJLr10XtoaPsRheT0WhWdOhr51HIEGj3vA/yRc6vlBTxSqkgI9MVp9piXn1e79NaLOZQrj24phVD&#10;GfAPVRhoLV36lOocIrCNb1+lMq3wGFDFI4GmQKVaIXMP1M149Ec3Nw04mXshcoJ7oin8v7Ticnvt&#10;WVtXfHY8mXFmwdAr/Xx8LH79+E4fNkkUdS6UhLxx1z41GdwKxZdAgeJFJDlhwOyUNwlLLbJd5vvh&#10;iW+5i0zQ5nQ2pqY5ExSaHp/Qe6bLCij3h50P8aNEw5JRcal160JiBErYrkLs0XtU2rZ40WpN+1Bq&#10;yzqS5OSE0jIBJC6lIZJpHLUb7Joz0GtSrYg+pwyo2zodT6ezAuWZ9mwLpJ24Gw+1vUClq88hND0o&#10;hwaYtimLzBIcKj3Qk6x7rB+Ieo+9JoMTFy1lW0GI1+BJhFQ1DVa8okVppFZwsDhr0H/7237CkzYo&#10;yllHoqY2v27AS870J0uq+TCeTtMUZCczzpl/Hrl/HrEbc4bU+5hG2Ils0mEf9d5UHs0dzd8y3Uoh&#10;sILu7gkdnLPYDxtNsJDLZYaR8h3Elb1xIiVPPCUeb3d34N3w1JE0con7AXj13D02nbS43ERUbdbC&#10;gddBmjQ1WVDDhKexfO5n1OE/tPgNAAD//wMAUEsDBBQABgAIAAAAIQABAF4I3QAAAAkBAAAPAAAA&#10;ZHJzL2Rvd25yZXYueG1sTI/NTsMwEITvSLyDtUhcEHUoJU1CnAoh8QD9uXDbJtskaryObKdN357l&#10;BMfRjGa+KTezHdSFfOgdG3hZJKCIa9f03Bo47L+eM1AhIjc4OCYDNwqwqe7vSiwad+UtXXaxVVLC&#10;oUADXYxjoXWoO7IYFm4kFu/kvMUo0re68XiVcjvoZZKk2mLPstDhSJ8d1efdZA247ydMcTyfYjaR&#10;329vYVqvMmMeH+aPd1CR5vgXhl98QYdKmI5u4iaowUCevMqXKMYyByWBfP2WgjoayFY56KrU/x9U&#10;PwAAAP//AwBQSwECLQAUAAYACAAAACEAtoM4kv4AAADhAQAAEwAAAAAAAAAAAAAAAAAAAAAAW0Nv&#10;bnRlbnRfVHlwZXNdLnhtbFBLAQItABQABgAIAAAAIQA4/SH/1gAAAJQBAAALAAAAAAAAAAAAAAAA&#10;AC8BAABfcmVscy8ucmVsc1BLAQItABQABgAIAAAAIQCyX2DpbgIAAM8EAAAOAAAAAAAAAAAAAAAA&#10;AC4CAABkcnMvZTJvRG9jLnhtbFBLAQItABQABgAIAAAAIQABAF4I3QAAAAkBAAAPAAAAAAAAAAAA&#10;AAAAAMgEAABkcnMvZG93bnJldi54bWxQSwUGAAAAAAQABADzAAAA0gUAAAAA&#10;" filled="f" strokecolor="black [3213]" strokeweight="1pt">
                <v:path arrowok="t"/>
              </v:oval>
            </w:pict>
          </mc:Fallback>
        </mc:AlternateContent>
      </w:r>
      <w:r w:rsidRPr="00AF1359">
        <w:rPr>
          <w:rFonts w:hint="eastAsia"/>
          <w:noProof/>
          <w:sz w:val="22"/>
          <w:szCs w:val="22"/>
        </w:rPr>
        <w:t>社名</w:t>
      </w:r>
    </w:p>
    <w:p w:rsidR="00524967" w:rsidRPr="00AF1359" w:rsidRDefault="00AF1359" w:rsidP="00AF1359">
      <w:pPr>
        <w:wordWrap w:val="0"/>
        <w:ind w:right="1322" w:firstLineChars="2700" w:firstLine="59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F135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職名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3715">
        <w:rPr>
          <w:rFonts w:ascii="ＭＳ ゴシック" w:eastAsia="ＭＳ ゴシック" w:hAnsi="ＭＳ ゴシック" w:hint="eastAsia"/>
          <w:sz w:val="28"/>
          <w:szCs w:val="28"/>
        </w:rPr>
        <w:t>補助事業推進担当者について</w:t>
      </w:r>
      <w:bookmarkStart w:id="0" w:name="_GoBack"/>
      <w:bookmarkEnd w:id="0"/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　平成</w:t>
      </w:r>
      <w:r w:rsidRPr="000922C8">
        <w:rPr>
          <w:rFonts w:ascii="ＭＳ ゴシック" w:eastAsia="ＭＳ ゴシック" w:hAnsi="ＭＳ ゴシック" w:hint="eastAsia"/>
          <w:sz w:val="22"/>
          <w:szCs w:val="22"/>
        </w:rPr>
        <w:t>２９年度石油ガス流通合理化対策事業費補助金（石油ガスの流通合理化及び取引の適正化等に関する支援事業</w:t>
      </w:r>
      <w:r w:rsidRPr="00A0507F">
        <w:rPr>
          <w:rFonts w:ascii="ＭＳ ゴシック" w:eastAsia="ＭＳ ゴシック" w:hAnsi="ＭＳ ゴシック" w:hint="eastAsia"/>
          <w:sz w:val="22"/>
          <w:szCs w:val="22"/>
        </w:rPr>
        <w:t>費</w:t>
      </w:r>
      <w:r w:rsidRPr="000922C8">
        <w:rPr>
          <w:rFonts w:ascii="ＭＳ ゴシック" w:eastAsia="ＭＳ ゴシック" w:hAnsi="ＭＳ ゴシック" w:hint="eastAsia"/>
          <w:sz w:val="22"/>
          <w:szCs w:val="22"/>
        </w:rPr>
        <w:t>のうち構造改善推進事業に係る</w:t>
      </w:r>
      <w:r w:rsidRPr="00A0507F">
        <w:rPr>
          <w:rFonts w:ascii="ＭＳ ゴシック" w:eastAsia="ＭＳ ゴシック" w:hAnsi="ＭＳ ゴシック" w:hint="eastAsia"/>
          <w:sz w:val="22"/>
          <w:szCs w:val="22"/>
          <w:u w:val="single" w:color="FF0000"/>
        </w:rPr>
        <w:t>も</w:t>
      </w:r>
      <w:r w:rsidRPr="000922C8">
        <w:rPr>
          <w:rFonts w:ascii="ＭＳ ゴシック" w:eastAsia="ＭＳ ゴシック" w:hAnsi="ＭＳ ゴシック" w:hint="eastAsia"/>
          <w:sz w:val="22"/>
          <w:szCs w:val="22"/>
        </w:rPr>
        <w:t>の）の</w:t>
      </w:r>
      <w:r w:rsidRPr="00713715">
        <w:rPr>
          <w:rFonts w:ascii="ＭＳ ゴシック" w:eastAsia="ＭＳ ゴシック" w:hAnsi="ＭＳ ゴシック" w:hint="eastAsia"/>
          <w:sz w:val="22"/>
          <w:szCs w:val="22"/>
        </w:rPr>
        <w:t>実施にあたり、下記の者を推進担当者として任命する。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autoSpaceDE w:val="0"/>
        <w:autoSpaceDN w:val="0"/>
        <w:adjustRightInd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524967" w:rsidRPr="00713715" w:rsidRDefault="00524967" w:rsidP="005249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autoSpaceDE w:val="0"/>
        <w:autoSpaceDN w:val="0"/>
        <w:adjustRightInd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524967" w:rsidRPr="00713715" w:rsidRDefault="00524967" w:rsidP="005249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524967" w:rsidRPr="00713715" w:rsidRDefault="00524967" w:rsidP="005249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 xml:space="preserve">　各担当者は補助事業専任とし、任命期限は補助事業完了までとする。</w:t>
      </w: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713715" w:rsidRDefault="00524967" w:rsidP="00524967">
      <w:pPr>
        <w:rPr>
          <w:rFonts w:ascii="ＭＳ ゴシック" w:eastAsia="ＭＳ ゴシック" w:hAnsi="ＭＳ ゴシック"/>
          <w:sz w:val="22"/>
          <w:szCs w:val="22"/>
        </w:rPr>
      </w:pPr>
    </w:p>
    <w:p w:rsidR="00524967" w:rsidRPr="00995654" w:rsidRDefault="00524967" w:rsidP="0052496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13715">
        <w:rPr>
          <w:rFonts w:ascii="ＭＳ ゴシック" w:eastAsia="ＭＳ ゴシック" w:hAnsi="ＭＳ ゴシック" w:hint="eastAsia"/>
          <w:sz w:val="22"/>
          <w:szCs w:val="22"/>
        </w:rPr>
        <w:t>以上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24967" w:rsidRPr="00995654" w:rsidRDefault="00524967" w:rsidP="00524967">
      <w:pPr>
        <w:rPr>
          <w:rFonts w:ascii="ＭＳ 明朝" w:hAnsi="ＭＳ 明朝"/>
          <w:sz w:val="22"/>
          <w:szCs w:val="22"/>
        </w:rPr>
      </w:pPr>
    </w:p>
    <w:p w:rsidR="00524967" w:rsidRDefault="00524967" w:rsidP="00524967">
      <w:pPr>
        <w:ind w:firstLine="240"/>
        <w:rPr>
          <w:rFonts w:ascii="ＭＳ ゴシック" w:eastAsia="ＭＳ ゴシック" w:hAnsi="ＭＳ ゴシック"/>
          <w:sz w:val="24"/>
          <w:szCs w:val="24"/>
        </w:rPr>
      </w:pPr>
    </w:p>
    <w:p w:rsidR="00664685" w:rsidRDefault="00664685"/>
    <w:sectPr w:rsidR="00664685" w:rsidSect="00524967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7"/>
    <w:rsid w:val="00524967"/>
    <w:rsid w:val="00664685"/>
    <w:rsid w:val="00A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9E043"/>
  <w15:chartTrackingRefBased/>
  <w15:docId w15:val="{F63D92A0-BFB5-416B-B19B-E320700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49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2017-04-24T00:57:00Z</dcterms:created>
  <dcterms:modified xsi:type="dcterms:W3CDTF">2017-04-24T00:57:00Z</dcterms:modified>
</cp:coreProperties>
</file>